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196" w:rsidRDefault="000F2F91" w:rsidP="005D6196">
      <w:pPr>
        <w:bidi/>
        <w:spacing w:line="360" w:lineRule="auto"/>
        <w:jc w:val="both"/>
        <w:rPr>
          <w:noProof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5D6196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5D619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D6196">
        <w:rPr>
          <w:rFonts w:ascii="IRBadr" w:hAnsi="IRBadr" w:cs="IRBadr"/>
          <w:sz w:val="28"/>
          <w:szCs w:val="28"/>
          <w:lang w:bidi="fa-IR"/>
        </w:rPr>
        <w:instrText>TOC</w:instrText>
      </w:r>
      <w:r w:rsidR="005D6196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5D6196">
        <w:rPr>
          <w:rFonts w:ascii="IRBadr" w:hAnsi="IRBadr" w:cs="IRBadr"/>
          <w:sz w:val="28"/>
          <w:szCs w:val="28"/>
          <w:lang w:bidi="fa-IR"/>
        </w:rPr>
        <w:instrText>o "1-6" \h \z \u</w:instrText>
      </w:r>
      <w:r w:rsidR="005D6196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D6196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5D6196" w:rsidRDefault="005D6196" w:rsidP="005D619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307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سرقت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308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پ</w:t>
        </w:r>
        <w:r w:rsidRPr="00951E4E">
          <w:rPr>
            <w:rStyle w:val="Hyperlink"/>
            <w:rFonts w:ascii="IRBadr" w:hAnsi="IRBadr" w:cs="IRBadr" w:hint="cs"/>
            <w:noProof/>
            <w:rtl/>
          </w:rPr>
          <w:t>ی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ش</w:t>
        </w:r>
        <w:r w:rsidRPr="00951E4E">
          <w:rPr>
            <w:rStyle w:val="Hyperlink"/>
            <w:rFonts w:ascii="IRBadr" w:hAnsi="IRBadr" w:cs="IRBadr" w:hint="cs"/>
            <w:noProof/>
            <w:rtl/>
          </w:rPr>
          <w:t>ی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309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شرط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خفاء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310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تغ</w:t>
        </w:r>
        <w:r w:rsidRPr="00951E4E">
          <w:rPr>
            <w:rStyle w:val="Hyperlink"/>
            <w:rFonts w:ascii="IRBadr" w:hAnsi="IRBadr" w:cs="IRBadr" w:hint="cs"/>
            <w:noProof/>
            <w:rtl/>
          </w:rPr>
          <w:t>یی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ر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خفاء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عرف</w:t>
        </w:r>
        <w:r w:rsidRPr="00951E4E">
          <w:rPr>
            <w:rStyle w:val="Hyperlink"/>
            <w:rFonts w:ascii="IRBadr" w:hAnsi="IRBadr" w:cs="IR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311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انواع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خفاء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312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موضوع</w:t>
        </w:r>
        <w:r w:rsidRPr="00951E4E">
          <w:rPr>
            <w:rStyle w:val="Hyperlink"/>
            <w:rFonts w:ascii="IRBadr" w:hAnsi="IRBadr" w:cs="IRBadr" w:hint="cs"/>
            <w:noProof/>
            <w:rtl/>
          </w:rPr>
          <w:t>ی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هر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دو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خفاء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  <w:lang w:bidi="ar-SA"/>
        </w:rPr>
      </w:pPr>
      <w:hyperlink w:anchor="_Toc432608313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مقصود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از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خفاء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314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شرط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نف</w:t>
        </w:r>
        <w:r w:rsidRPr="00951E4E">
          <w:rPr>
            <w:rStyle w:val="Hyperlink"/>
            <w:rFonts w:ascii="IRBadr" w:hAnsi="IRBadr" w:cs="IRBadr" w:hint="cs"/>
            <w:noProof/>
            <w:rtl/>
          </w:rPr>
          <w:t>ی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والد</w:t>
        </w:r>
        <w:r w:rsidRPr="00951E4E">
          <w:rPr>
            <w:rStyle w:val="Hyperlink"/>
            <w:rFonts w:ascii="IRBadr" w:hAnsi="IRBadr" w:cs="IRBadr" w:hint="cs"/>
            <w:noProof/>
            <w:rtl/>
          </w:rPr>
          <w:t>ی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315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اقوال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در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ا</w:t>
        </w:r>
        <w:r w:rsidRPr="00951E4E">
          <w:rPr>
            <w:rStyle w:val="Hyperlink"/>
            <w:rFonts w:ascii="IRBadr" w:hAnsi="IRBadr" w:cs="IRBadr" w:hint="cs"/>
            <w:noProof/>
            <w:rtl/>
          </w:rPr>
          <w:t>ی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ن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باب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316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مستند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قول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اول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317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دو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تفس</w:t>
        </w:r>
        <w:r w:rsidRPr="00951E4E">
          <w:rPr>
            <w:rStyle w:val="Hyperlink"/>
            <w:rFonts w:ascii="IRBadr" w:hAnsi="IRBadr" w:cs="IRBadr" w:hint="cs"/>
            <w:noProof/>
            <w:rtl/>
          </w:rPr>
          <w:t>ی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ر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از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Pr="00951E4E">
          <w:rPr>
            <w:rStyle w:val="Hyperlink"/>
            <w:rFonts w:ascii="IRBadr" w:hAnsi="IRBadr" w:cs="IRBadr" w:hint="cs"/>
            <w:noProof/>
            <w:rtl/>
          </w:rPr>
          <w:t>ی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ت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فوق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432608318" w:history="1">
        <w:r w:rsidRPr="00951E4E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Pr="00951E4E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951E4E">
          <w:rPr>
            <w:rStyle w:val="Hyperlink"/>
            <w:rFonts w:ascii="IRBadr" w:hAnsi="IRBadr" w:cs="IRBadr" w:hint="eastAsia"/>
            <w:noProof/>
            <w:rtl/>
          </w:rPr>
          <w:t>مبنا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_Toc432608318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D6196" w:rsidRDefault="005D6196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  <w:bookmarkStart w:id="0" w:name="_GoBack"/>
      <w:bookmarkEnd w:id="0"/>
    </w:p>
    <w:p w:rsidR="005D6196" w:rsidRDefault="005D6196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68554B" w:rsidRPr="005D6196" w:rsidRDefault="0068554B" w:rsidP="005D6196">
      <w:pPr>
        <w:pStyle w:val="Heading1"/>
        <w:spacing w:line="360" w:lineRule="auto"/>
        <w:rPr>
          <w:rFonts w:ascii="IRBadr" w:hAnsi="IRBadr" w:cs="IRBadr"/>
          <w:rtl/>
        </w:rPr>
      </w:pPr>
      <w:bookmarkStart w:id="1" w:name="_Toc432608307"/>
      <w:r w:rsidRPr="005D6196">
        <w:rPr>
          <w:rFonts w:ascii="IRBadr" w:hAnsi="IRBadr" w:cs="IRBadr"/>
          <w:rtl/>
        </w:rPr>
        <w:t>حد سرقت</w:t>
      </w:r>
      <w:bookmarkEnd w:id="1"/>
    </w:p>
    <w:p w:rsidR="0068554B" w:rsidRPr="005D6196" w:rsidRDefault="0068554B" w:rsidP="005D6196">
      <w:pPr>
        <w:pStyle w:val="Heading1"/>
        <w:spacing w:line="360" w:lineRule="auto"/>
        <w:rPr>
          <w:rFonts w:ascii="IRBadr" w:hAnsi="IRBadr" w:cs="IRBadr"/>
          <w:rtl/>
        </w:rPr>
      </w:pPr>
      <w:bookmarkStart w:id="2" w:name="_Toc432608308"/>
      <w:r w:rsidRPr="005D6196">
        <w:rPr>
          <w:rFonts w:ascii="IRBadr" w:hAnsi="IRBadr" w:cs="IRBadr"/>
          <w:rtl/>
        </w:rPr>
        <w:t>مرور بحث پیشین</w:t>
      </w:r>
      <w:bookmarkEnd w:id="2"/>
    </w:p>
    <w:p w:rsidR="00EF4793" w:rsidRPr="005D6196" w:rsidRDefault="004054B2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شرایط خاصی که برای حدود حد سرقت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است، عبارت‌اند از هتک حرز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اخذ مال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اخراج مال و خفا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>ء.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برداشتن مال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درملأعام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است، قطع ید دیگر ثابت نیست. این شرط آخر که عبارت بود از اخذ مال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خفاء، 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>یک دلیل لغوی و ادله متعدد روایی داشت،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 xml:space="preserve"> متذکر این نکته نیز شدیم که مفهوم سرقت ممکن است به معونه مجازیت یا حتی اشتراک لفظی به این دلالت برسد.</w:t>
      </w:r>
    </w:p>
    <w:p w:rsidR="00EF4793" w:rsidRPr="005D6196" w:rsidRDefault="00EF4793" w:rsidP="005D6196">
      <w:pPr>
        <w:pStyle w:val="Heading1"/>
        <w:spacing w:line="360" w:lineRule="auto"/>
        <w:rPr>
          <w:rFonts w:ascii="IRBadr" w:hAnsi="IRBadr" w:cs="IRBadr"/>
          <w:rtl/>
        </w:rPr>
      </w:pPr>
      <w:bookmarkStart w:id="3" w:name="_Toc432608309"/>
      <w:r w:rsidRPr="005D6196">
        <w:rPr>
          <w:rFonts w:ascii="IRBadr" w:hAnsi="IRBadr" w:cs="IRBadr"/>
          <w:rtl/>
        </w:rPr>
        <w:lastRenderedPageBreak/>
        <w:t>شرط خفاء</w:t>
      </w:r>
      <w:bookmarkEnd w:id="3"/>
    </w:p>
    <w:p w:rsidR="00EF4793" w:rsidRPr="005D6196" w:rsidRDefault="000F2F91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انسان را مطمئن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می‌سازد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این معنی از خفاء در معاجم لغویه قدیمی مأخوذ از فقه ما نیست دو مطلب است؛</w:t>
      </w:r>
    </w:p>
    <w:p w:rsidR="00EF4793" w:rsidRPr="005D6196" w:rsidRDefault="00EF4793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>اولین دلیل اینکه این جزئیات و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 این احکام فقه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ی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به‌تدریج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در اذهان جا افتاد و دلیل دیگر اینکه بسیاری از شرایط فقهی دیگر است که در لغت اخذ نشده است. این دو امر انسان را به تبادری لغوی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می‌رساند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.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نکته بیان شد که مراد از خفای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خفای عرفی است نه خفای شخصی. علت آن نیز این بوده که بین این دو خفاء رابطه تساوی برقرار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نیست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. یعنی ممکن است در موارد خفای شخصی صدق کند اما عرف آن را خفاء نداند.</w:t>
      </w:r>
    </w:p>
    <w:p w:rsidR="00EF4793" w:rsidRPr="005D6196" w:rsidRDefault="00EF4793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پس در اینجا نیز 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>مثل سایر مفاهیم، بر همان متفاهم عرفی حمل می‌شود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F4793" w:rsidRPr="005D6196" w:rsidRDefault="00EF4793" w:rsidP="005D6196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2608310"/>
      <w:r w:rsidRPr="005D6196">
        <w:rPr>
          <w:rFonts w:ascii="IRBadr" w:hAnsi="IRBadr" w:cs="IRBadr"/>
          <w:rtl/>
        </w:rPr>
        <w:lastRenderedPageBreak/>
        <w:t>تغییر خفاء عرفی</w:t>
      </w:r>
      <w:bookmarkEnd w:id="4"/>
    </w:p>
    <w:p w:rsidR="00EF4793" w:rsidRPr="005D6196" w:rsidRDefault="000F2F91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مشخص است عرف در معرض تبدل و تغییرات گوناگونی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قرارداد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 xml:space="preserve"> لذا وقتی در اینجا ملاک خفای عرفی قرار داده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 xml:space="preserve"> ممکن است،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 xml:space="preserve"> خفاء نیز همانند سایر مفاهیم عرفی دستخوش تغییراتی شود.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 xml:space="preserve"> تغییرات گاهی بر اساس میزان زمانی بوده و گاهی نیز اختلافی که در بین مناطق مختلف وجود دارد بدان دامن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می‌زند</w:t>
      </w:r>
      <w:r w:rsidR="00EF4793" w:rsidRPr="005D619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D2157" w:rsidRPr="005D6196" w:rsidRDefault="004054B2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>ثانیاً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مراد از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این خفای عرفی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>،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خفای عرف در منطقه وقوع جرم است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D2157" w:rsidRPr="005D6196" w:rsidRDefault="00CD2157" w:rsidP="005D6196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2608311"/>
      <w:r w:rsidRPr="005D6196">
        <w:rPr>
          <w:rFonts w:ascii="IRBadr" w:hAnsi="IRBadr" w:cs="IRBadr"/>
          <w:rtl/>
        </w:rPr>
        <w:t>انواع خفاء</w:t>
      </w:r>
      <w:bookmarkEnd w:id="5"/>
    </w:p>
    <w:p w:rsidR="00CD2157" w:rsidRPr="005D6196" w:rsidRDefault="00CD2157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>خفاء بر دو قسم است؛</w:t>
      </w:r>
    </w:p>
    <w:p w:rsidR="00CD2157" w:rsidRPr="005D6196" w:rsidRDefault="00CD2157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>مخفی بودن مال با مخفیانه برداشتن آن دو امر کاملاً متفاوت است،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ممکن است مال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جای پنهانی نباشد ولی سارق آن را مخفیانه برداشته باشد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عکس این قضیه نیز صادق است.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>بین این دو عموم خصوص من وجه است.</w:t>
      </w:r>
    </w:p>
    <w:p w:rsidR="00CD2157" w:rsidRPr="005D6196" w:rsidRDefault="00CD2157" w:rsidP="005D6196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2608312"/>
      <w:r w:rsidRPr="005D6196">
        <w:rPr>
          <w:rFonts w:ascii="IRBadr" w:hAnsi="IRBadr" w:cs="IRBadr"/>
          <w:rtl/>
        </w:rPr>
        <w:t>موضوعیت هر دو خفاء</w:t>
      </w:r>
      <w:bookmarkEnd w:id="6"/>
    </w:p>
    <w:p w:rsidR="00CD2157" w:rsidRPr="005D6196" w:rsidRDefault="004054B2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سومین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ممکن است اینجا مطرح بشود 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>این بوده که کدام ملاک است؟</w:t>
      </w:r>
    </w:p>
    <w:p w:rsidR="00CD2157" w:rsidRPr="005D6196" w:rsidRDefault="004054B2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ظاهر قضیه این است که باید هر دو باشد. اگر یکی از این دو نباشد، دیگر صدق نمی‌کند و روایات آن را نمی‌گیرد.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ازآنچه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در روایت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استفاده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خفاء قید اخذ است نه قید مأخوذ و قید سرقت است نه مسروق.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مطلب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واضح است مگر اینکه فردی تردید کند که در آن زمان باید قاعده درع را اجرا نماید.</w:t>
      </w:r>
    </w:p>
    <w:p w:rsidR="00CD2157" w:rsidRPr="005D6196" w:rsidRDefault="00CD2157" w:rsidP="005D6196">
      <w:pPr>
        <w:pStyle w:val="Heading2"/>
        <w:spacing w:line="360" w:lineRule="auto"/>
        <w:rPr>
          <w:rFonts w:ascii="IRBadr" w:hAnsi="IRBadr" w:cs="IRBadr"/>
          <w:rtl/>
        </w:rPr>
      </w:pPr>
      <w:bookmarkStart w:id="7" w:name="_Toc432608313"/>
      <w:r w:rsidRPr="005D6196">
        <w:rPr>
          <w:rFonts w:ascii="IRBadr" w:hAnsi="IRBadr" w:cs="IRBadr"/>
          <w:rtl/>
        </w:rPr>
        <w:lastRenderedPageBreak/>
        <w:t>مقصود از خفاء</w:t>
      </w:r>
      <w:bookmarkEnd w:id="7"/>
    </w:p>
    <w:p w:rsidR="00CD2157" w:rsidRPr="005D6196" w:rsidRDefault="004054B2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>نکته چهارم این است که مقصود از خفا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>ء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می‌گوییم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این عمل 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>باید مخفیانه انجام گیرد،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چیزی است؟</w:t>
      </w:r>
    </w:p>
    <w:p w:rsidR="00CD2157" w:rsidRPr="005D6196" w:rsidRDefault="004054B2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باز به دلیل اینکه گفتیم مخفیانه عرفی است، مقصود این نیست که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هیچ‌کس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از آن مطلع نشود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یا در معرض ابتلا به هیچ نحو قرار نگیرد. برای اینکه 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مصادیق این امر زیاد است، لذا معنای آن این بوده که عرفاً این دزدی مخفیانه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به‌حساب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آید.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لذاست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امروزه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باوجود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دوربین‌های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 xml:space="preserve"> هوشمند باز دزدی مخفیانه احتساب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D2157" w:rsidRPr="005D6196">
        <w:rPr>
          <w:rFonts w:ascii="IRBadr" w:hAnsi="IRBadr" w:cs="IRBadr"/>
          <w:sz w:val="28"/>
          <w:szCs w:val="28"/>
          <w:rtl/>
          <w:lang w:bidi="fa-IR"/>
        </w:rPr>
        <w:t>.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 xml:space="preserve"> وجود شاهد یا بینه آن را از خفاء ساقط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>.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الا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 xml:space="preserve"> اینکه کنترل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دستگاه‌های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 xml:space="preserve"> امنیتی امروزی به حدی برسد که دزدی عمومیت پیدا کند.</w:t>
      </w:r>
    </w:p>
    <w:p w:rsidR="00CD2157" w:rsidRPr="005D6196" w:rsidRDefault="00DD0426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برخی از مباحثی که در اینجا مطرح شود از مواردی بود که در تحریر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بیان‌نشده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بود و لازم بود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فروع در این بخش ذکر گردد.</w:t>
      </w:r>
    </w:p>
    <w:p w:rsidR="00CD2157" w:rsidRPr="005D6196" w:rsidRDefault="00DD0426" w:rsidP="005D6196">
      <w:pPr>
        <w:pStyle w:val="Heading3"/>
        <w:spacing w:line="360" w:lineRule="auto"/>
        <w:rPr>
          <w:rFonts w:ascii="IRBadr" w:hAnsi="IRBadr" w:cs="IRBadr"/>
          <w:rtl/>
        </w:rPr>
      </w:pPr>
      <w:bookmarkStart w:id="8" w:name="_Toc432608314"/>
      <w:r w:rsidRPr="005D6196">
        <w:rPr>
          <w:rFonts w:ascii="IRBadr" w:hAnsi="IRBadr" w:cs="IRBadr"/>
          <w:rtl/>
        </w:rPr>
        <w:t>شرط نفی والدیت</w:t>
      </w:r>
      <w:bookmarkEnd w:id="8"/>
    </w:p>
    <w:p w:rsidR="00DD0426" w:rsidRPr="005D6196" w:rsidRDefault="004054B2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شرط بعدی در باب سرقت این است که سارق والد شخص نباشد. اگر پدر مال فرزند را برباید 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 xml:space="preserve">حد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سرقت 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 xml:space="preserve">محقق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نیست. 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>این امر تقریباً مورد اتفاق بین شیعه است،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 xml:space="preserve"> در سایر اقرباء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اختلاف‌نظر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 xml:space="preserve"> وجود دارد، الا نسبت به مادر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ابی الصحاح حلبی و علامه برخلاف مشهور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 xml:space="preserve"> فقهای شیعه تقویت کردند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والده هم ملحق به والد می‌شود.</w:t>
      </w:r>
    </w:p>
    <w:p w:rsidR="00DD0426" w:rsidRPr="005D6196" w:rsidRDefault="00DD0426" w:rsidP="005D6196">
      <w:pPr>
        <w:pStyle w:val="Heading3"/>
        <w:spacing w:line="360" w:lineRule="auto"/>
        <w:rPr>
          <w:rFonts w:ascii="IRBadr" w:hAnsi="IRBadr" w:cs="IRBadr"/>
          <w:rtl/>
        </w:rPr>
      </w:pPr>
      <w:bookmarkStart w:id="9" w:name="_Toc432608315"/>
      <w:r w:rsidRPr="005D6196">
        <w:rPr>
          <w:rFonts w:ascii="IRBadr" w:hAnsi="IRBadr" w:cs="IRBadr"/>
          <w:rtl/>
        </w:rPr>
        <w:t>اقوال در این باب</w:t>
      </w:r>
      <w:bookmarkEnd w:id="9"/>
    </w:p>
    <w:p w:rsidR="00DD0426" w:rsidRPr="005D6196" w:rsidRDefault="004054B2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اما در بین فقهای عامه اقوالی وجود دارد که سایر اقربا را هم استثنا می‌کنند. با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lastRenderedPageBreak/>
        <w:t>یک نگاه کلی سه قول وجود دارد. یک قول این است که والد مستثنا است، قول دوم این است که سرقت پدر و مادر مستثنا است. قول سوم این است که سرقت اقربا از اقربا مستثنی است.</w:t>
      </w:r>
    </w:p>
    <w:p w:rsidR="00DD0426" w:rsidRPr="005D6196" w:rsidRDefault="004054B2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قول اول، قول مشهور و مجمع علیه فقهای شیعه است 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>مگر افراد نادری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. قول دوم که علاوه بر پدر، مادر را هم 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>داخل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می‌کند قول ابی الصحاح حلبی و مرحوم علامه در مختلف است. قول سوم، در بین شیعه قائلی ندارد و در میان عامه این قول 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>م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وجود 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>است.</w:t>
      </w:r>
    </w:p>
    <w:p w:rsidR="00DD0426" w:rsidRPr="005D6196" w:rsidRDefault="00DD0426" w:rsidP="005D6196">
      <w:pPr>
        <w:pStyle w:val="Heading3"/>
        <w:spacing w:line="360" w:lineRule="auto"/>
        <w:rPr>
          <w:rFonts w:ascii="IRBadr" w:hAnsi="IRBadr" w:cs="IRBadr"/>
          <w:rtl/>
        </w:rPr>
      </w:pPr>
      <w:bookmarkStart w:id="10" w:name="_Toc432608316"/>
      <w:r w:rsidRPr="005D6196">
        <w:rPr>
          <w:rFonts w:ascii="IRBadr" w:hAnsi="IRBadr" w:cs="IRBadr"/>
          <w:rtl/>
        </w:rPr>
        <w:t>مستند قول اول</w:t>
      </w:r>
      <w:bookmarkEnd w:id="10"/>
    </w:p>
    <w:p w:rsidR="00DD0426" w:rsidRPr="005D6196" w:rsidRDefault="004054B2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دلیلی که برای قول اول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 xml:space="preserve"> در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جلد هیجده، ابواب حد قتل، باب چهارده، روایت اول این باب است. روایت معتبره محمد بن مسلم است</w:t>
      </w:r>
      <w:r w:rsidR="00DD0426" w:rsidRPr="005D6196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5D51FC" w:rsidRPr="005D6196" w:rsidRDefault="005D51FC" w:rsidP="005D6196">
      <w:pPr>
        <w:pStyle w:val="NormalWeb"/>
        <w:bidi/>
        <w:spacing w:line="360" w:lineRule="auto"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 xml:space="preserve">«مُحَمَّدُ بْنُ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عْقُوبَ عَنْ عَلِ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إِبْرَاهِ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ابْنِ مَحْبُوبٍ عَنِ الْعَلَاءِ بْنِ رَزِ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نٍ عَنْ مُحَمَّدِ بْنِ مُسْلِمٍ قَالَ: سَأَلْتُ أَبَا جَعْفَرٍ ع عَنْ رَجُلٍ قَذَفَ ابْنَهُ بِالزِّنَا- قَالَ لَوْ قَتَلَهُ مَا قُتِلَ بِهِ وَ إِنْ قَذَفَهُ لَمْ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جْلَدْ لَهُ- قُلْتُ فَإِنْ قَذَفَ أَبُوهُ أُمَّهُ- قَالَ إِنْ قَذَفَهَا وَ انْتَفَ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مِنْ وَلَدِهَا- تَلَاعَنَا وَ لَمْ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لْزَمْ ذَلِ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الْوَلَدَ الَّذِ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انْتَفَ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مِنْهُ- وَ فُرِّقَ بَ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نَهُمَا وَ لَمْ تَحِلَّ لَهُ أَبَداً- قَالَ وَ إِنْ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قَالَ لِابْنِهِ وَ أُمُّهُ حَ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ةٌ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ابْنَ الزَّانِ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ةِ- وَ لَمْ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نْتَفِ مِنْ وَلَدِهَا جُلِدَ الْحَدَّ لَهَا وَ لَمْ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فَرَّقْ بَ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نَهُمَا- قَالَ وَ إِنْ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انَ قَالَ لِابْنِهِ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ابْنَ الزَّانِ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ةِ وَ أُمُّهُ مَ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تَةٌ- وَ لَمْ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یک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 لَهَا مَنْ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أْخُذُ بِحَقِّهَا مِنْهُ إِلَّا وَلَدُهَا مِنْهُ- فَإِنَّهُ لَا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قَامُ عَلَ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الْحَدُّ- لِأَنَّ حَقَّ الْحَدِّ قَدْ صَارَ لِوَلَدِهِ مِنْهَا- فَإِنْ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لَهَا وَلَدٌ مِنْ غَ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رِهِ فَهُوَ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ولی‌ها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0F2F91"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یجْلَدُ</w:t>
      </w:r>
      <w:r w:rsidRPr="005D6196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.»</w:t>
      </w:r>
      <w:r w:rsidRPr="005D6196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DD0426" w:rsidRPr="005D6196" w:rsidRDefault="00DD0426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lastRenderedPageBreak/>
        <w:t>راوی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در مورد 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مردی که فرزندش را نسبت زنا داد، سؤال کرد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اگر قذفش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نمود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حد قتل بر پدر می‌گذارند؟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م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 می‌فرماید، اگر او را می‌کشت قصاص نمی‌کردند. پدر فرزند را بکشد قصاصش نمی‌کنند. تا چه برسد به اینکه به خاطر قذف به او حد بزنند. در حقیقت خود امام 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اولویتی درست کرده است،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 البته این اولویت اگر دست ما بود جاری نمی‌کردیم. برای اینکه ما می‌گفتیم اگر بکشد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،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 نمی‌کشند. والا اگر قذفش کنند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،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شلاقش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 می‌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زنند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B55ED" w:rsidRPr="005D6196" w:rsidRDefault="00DD0426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دلیلی است که تقریباً همه قبول دارند. علاوه بر این دلیلی که ذکر کردند، روایات معتبر داریم که تو و مالت </w:t>
      </w:r>
      <w:r w:rsidR="00CB55ED" w:rsidRPr="005D6196">
        <w:rPr>
          <w:rFonts w:ascii="IRBadr" w:hAnsi="IRBadr" w:cs="IRBadr"/>
          <w:sz w:val="28"/>
          <w:szCs w:val="28"/>
          <w:rtl/>
          <w:lang w:bidi="fa-IR"/>
        </w:rPr>
        <w:t>برای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 پدرت هستی.</w:t>
      </w:r>
    </w:p>
    <w:p w:rsidR="00CB55ED" w:rsidRPr="005D6196" w:rsidRDefault="00CB55ED" w:rsidP="005D6196">
      <w:pPr>
        <w:pStyle w:val="Heading3"/>
        <w:spacing w:line="360" w:lineRule="auto"/>
        <w:rPr>
          <w:rFonts w:ascii="IRBadr" w:hAnsi="IRBadr" w:cs="IRBadr"/>
          <w:rtl/>
        </w:rPr>
      </w:pPr>
      <w:bookmarkStart w:id="11" w:name="_Toc432608317"/>
      <w:r w:rsidRPr="005D6196">
        <w:rPr>
          <w:rFonts w:ascii="IRBadr" w:hAnsi="IRBadr" w:cs="IRBadr"/>
          <w:rtl/>
        </w:rPr>
        <w:lastRenderedPageBreak/>
        <w:t>دو تفسیر از روایت فوق</w:t>
      </w:r>
      <w:bookmarkEnd w:id="11"/>
    </w:p>
    <w:p w:rsidR="00CB55ED" w:rsidRPr="005D6196" w:rsidRDefault="00CB55ED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از این روایت دو نوع تفسیر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به‌عمل‌آمده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که حقیقتاً روایت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درصدد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بیان ملکیت حقوقی فرزند و مالش برای پدر است و برخی این را نپذیرفته و جنبه اخلاقی به بحث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B55ED" w:rsidRPr="005D6196" w:rsidRDefault="00CB55ED" w:rsidP="005D6196">
      <w:pPr>
        <w:pStyle w:val="Heading3"/>
        <w:spacing w:line="360" w:lineRule="auto"/>
        <w:rPr>
          <w:rFonts w:ascii="IRBadr" w:hAnsi="IRBadr" w:cs="IRBadr"/>
          <w:rtl/>
        </w:rPr>
      </w:pPr>
      <w:bookmarkStart w:id="12" w:name="_Toc432608318"/>
      <w:r w:rsidRPr="005D6196">
        <w:rPr>
          <w:rFonts w:ascii="IRBadr" w:hAnsi="IRBadr" w:cs="IRBadr"/>
          <w:rtl/>
        </w:rPr>
        <w:t>اتخاذ مبنا</w:t>
      </w:r>
      <w:bookmarkEnd w:id="12"/>
    </w:p>
    <w:p w:rsidR="004054B2" w:rsidRPr="005D6196" w:rsidRDefault="00CB55ED" w:rsidP="005D6196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البته علاوه بر سه احتمال فوق احتمال دیگری نیز وجود دارد که تو و مالت برای پدرت هستی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او فقیر باشد.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5D619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کنار هم قرار گرفتن این دو دلیل </w:t>
      </w:r>
      <w:r w:rsidR="000F2F91" w:rsidRPr="005D6196">
        <w:rPr>
          <w:rFonts w:ascii="IRBadr" w:hAnsi="IRBadr" w:cs="IRBadr"/>
          <w:sz w:val="28"/>
          <w:szCs w:val="28"/>
          <w:rtl/>
          <w:lang w:bidi="fa-IR"/>
        </w:rPr>
        <w:t>به‌علاوه</w:t>
      </w:r>
      <w:r w:rsidR="004054B2" w:rsidRPr="005D6196">
        <w:rPr>
          <w:rFonts w:ascii="IRBadr" w:hAnsi="IRBadr" w:cs="IRBadr"/>
          <w:sz w:val="28"/>
          <w:szCs w:val="28"/>
          <w:rtl/>
          <w:lang w:bidi="fa-IR"/>
        </w:rPr>
        <w:t xml:space="preserve"> اجماعی که در مسئله است، این سه امر، لااقل جای تدرع الحدود را درست می‌کند.</w:t>
      </w:r>
    </w:p>
    <w:p w:rsidR="00152670" w:rsidRPr="005D6196" w:rsidRDefault="00152670" w:rsidP="005D6196">
      <w:pPr>
        <w:bidi/>
        <w:spacing w:line="360" w:lineRule="auto"/>
        <w:rPr>
          <w:rFonts w:ascii="IRBadr" w:hAnsi="IRBadr" w:cs="IRBadr"/>
          <w:rtl/>
          <w:lang w:bidi="fa-IR"/>
        </w:rPr>
      </w:pPr>
    </w:p>
    <w:sectPr w:rsidR="00152670" w:rsidRPr="005D6196" w:rsidSect="000D5800">
      <w:headerReference w:type="default" r:id="rId7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CDF" w:rsidRDefault="00E35CDF" w:rsidP="000D5800">
      <w:pPr>
        <w:spacing w:after="0" w:line="240" w:lineRule="auto"/>
      </w:pPr>
      <w:r>
        <w:separator/>
      </w:r>
    </w:p>
  </w:endnote>
  <w:endnote w:type="continuationSeparator" w:id="0">
    <w:p w:rsidR="00E35CDF" w:rsidRDefault="00E35CD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Noor_Titr">
    <w:altName w:val="Segoe UI Semibold"/>
    <w:charset w:val="00"/>
    <w:family w:val="auto"/>
    <w:pitch w:val="variable"/>
    <w:sig w:usb0="00000000" w:usb1="80002000" w:usb2="00000008" w:usb3="00000000" w:csb0="00000043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CDF" w:rsidRDefault="00E35CDF" w:rsidP="005D6196">
      <w:pPr>
        <w:spacing w:after="0" w:line="240" w:lineRule="auto"/>
        <w:jc w:val="right"/>
      </w:pPr>
      <w:r>
        <w:separator/>
      </w:r>
    </w:p>
  </w:footnote>
  <w:footnote w:type="continuationSeparator" w:id="0">
    <w:p w:rsidR="00E35CDF" w:rsidRDefault="00E35CDF" w:rsidP="000D5800">
      <w:pPr>
        <w:spacing w:after="0" w:line="240" w:lineRule="auto"/>
      </w:pPr>
      <w:r>
        <w:continuationSeparator/>
      </w:r>
    </w:p>
  </w:footnote>
  <w:footnote w:id="1">
    <w:p w:rsidR="005D51FC" w:rsidRDefault="005D51F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D51FC">
        <w:rPr>
          <w:rFonts w:ascii="Noor_Titr" w:hAnsi="Noor_Titr" w:cs="B Badr" w:hint="cs"/>
          <w:color w:val="000000" w:themeColor="text1"/>
          <w:rtl/>
        </w:rPr>
        <w:t>وسائل الش</w:t>
      </w:r>
      <w:r w:rsidR="000F2F91">
        <w:rPr>
          <w:rFonts w:ascii="Noor_Titr" w:hAnsi="Noor_Titr" w:cs="B Badr" w:hint="cs"/>
          <w:color w:val="000000" w:themeColor="text1"/>
          <w:rtl/>
        </w:rPr>
        <w:t>ی</w:t>
      </w:r>
      <w:r w:rsidRPr="005D51FC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0F2F91">
        <w:rPr>
          <w:rFonts w:ascii="Noor_Titr" w:hAnsi="Noor_Titr" w:cs="B Badr"/>
          <w:color w:val="000000" w:themeColor="text1"/>
          <w:rtl/>
        </w:rPr>
        <w:t>ج 28</w:t>
      </w:r>
      <w:r w:rsidRPr="005D51FC">
        <w:rPr>
          <w:rFonts w:ascii="Noor_Titr" w:hAnsi="Noor_Titr" w:cs="B Badr" w:hint="cs"/>
          <w:color w:val="000000" w:themeColor="text1"/>
          <w:rtl/>
        </w:rPr>
        <w:t>، ص: 196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4054B2">
    <w:pPr>
      <w:tabs>
        <w:tab w:val="left" w:pos="1256"/>
        <w:tab w:val="left" w:pos="5696"/>
        <w:tab w:val="right" w:pos="9071"/>
      </w:tabs>
      <w:bidi/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2236612" wp14:editId="130F989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A06015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585D5003" wp14:editId="0ED372A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0F2F91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4054B2">
      <w:rPr>
        <w:rFonts w:ascii="IranNastaliq" w:hAnsi="IranNastaliq" w:cs="IranNastaliq" w:hint="cs"/>
        <w:sz w:val="40"/>
        <w:szCs w:val="40"/>
        <w:rtl/>
      </w:rPr>
      <w:t>866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B2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F1897"/>
    <w:rsid w:val="000F2F91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6EF4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A5B48"/>
    <w:rsid w:val="002C56FD"/>
    <w:rsid w:val="002D49E4"/>
    <w:rsid w:val="002E450B"/>
    <w:rsid w:val="002E73F9"/>
    <w:rsid w:val="002F05B9"/>
    <w:rsid w:val="00340BA3"/>
    <w:rsid w:val="00366400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054B2"/>
    <w:rsid w:val="00410699"/>
    <w:rsid w:val="00415360"/>
    <w:rsid w:val="00415D42"/>
    <w:rsid w:val="0044591E"/>
    <w:rsid w:val="004651D2"/>
    <w:rsid w:val="00465D26"/>
    <w:rsid w:val="004679F8"/>
    <w:rsid w:val="004B337F"/>
    <w:rsid w:val="004F3596"/>
    <w:rsid w:val="00520994"/>
    <w:rsid w:val="00572E2D"/>
    <w:rsid w:val="00592103"/>
    <w:rsid w:val="005A545E"/>
    <w:rsid w:val="005A5862"/>
    <w:rsid w:val="005B0852"/>
    <w:rsid w:val="005C06AE"/>
    <w:rsid w:val="005D51FC"/>
    <w:rsid w:val="005D6196"/>
    <w:rsid w:val="00610C18"/>
    <w:rsid w:val="0061376C"/>
    <w:rsid w:val="00636EFA"/>
    <w:rsid w:val="0066229C"/>
    <w:rsid w:val="0068554B"/>
    <w:rsid w:val="0069696C"/>
    <w:rsid w:val="006A085A"/>
    <w:rsid w:val="006D3A87"/>
    <w:rsid w:val="006F01B4"/>
    <w:rsid w:val="00734D59"/>
    <w:rsid w:val="0073609B"/>
    <w:rsid w:val="00752745"/>
    <w:rsid w:val="0075724D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628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80643"/>
    <w:rsid w:val="009B61C3"/>
    <w:rsid w:val="009C7B4F"/>
    <w:rsid w:val="009D1C9A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93D84"/>
    <w:rsid w:val="00BB5F7E"/>
    <w:rsid w:val="00BC26F6"/>
    <w:rsid w:val="00BD3122"/>
    <w:rsid w:val="00BD40DA"/>
    <w:rsid w:val="00C160AF"/>
    <w:rsid w:val="00C22299"/>
    <w:rsid w:val="00C25609"/>
    <w:rsid w:val="00C26607"/>
    <w:rsid w:val="00C32A49"/>
    <w:rsid w:val="00C60D75"/>
    <w:rsid w:val="00C64CEA"/>
    <w:rsid w:val="00C73012"/>
    <w:rsid w:val="00C763DD"/>
    <w:rsid w:val="00C84FC0"/>
    <w:rsid w:val="00C9244A"/>
    <w:rsid w:val="00CB55ED"/>
    <w:rsid w:val="00CB5DA3"/>
    <w:rsid w:val="00CD215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0426"/>
    <w:rsid w:val="00DD3C0D"/>
    <w:rsid w:val="00DD4864"/>
    <w:rsid w:val="00DD71A2"/>
    <w:rsid w:val="00E0639C"/>
    <w:rsid w:val="00E067E6"/>
    <w:rsid w:val="00E12531"/>
    <w:rsid w:val="00E143B0"/>
    <w:rsid w:val="00E35CDF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EF207E"/>
    <w:rsid w:val="00EF4793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0A93806-43BB-422E-BCBD-373F2B85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4054B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D5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5D51F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D61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09E0C-F9D0-47A4-B3C6-E4B1CED6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</TotalTime>
  <Pages>6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313</cp:lastModifiedBy>
  <cp:revision>11</cp:revision>
  <dcterms:created xsi:type="dcterms:W3CDTF">2015-10-15T00:50:00Z</dcterms:created>
  <dcterms:modified xsi:type="dcterms:W3CDTF">2015-10-15T00:51:00Z</dcterms:modified>
</cp:coreProperties>
</file>